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hd w:val="clear" w:color="auto" w:fill="FFFFFF"/>
        <w:spacing w:before="0" w:after="0" w:line="240" w:lineRule="atLeast"/>
        <w:jc w:val="center"/>
        <w:rPr>
          <w:rFonts w:ascii="微软雅黑" w:hAnsi="微软雅黑" w:eastAsia="微软雅黑" w:cs="微软雅黑"/>
          <w:color w:val="C00000"/>
          <w:shd w:val="clear" w:color="auto" w:fill="FFFFFF"/>
        </w:rPr>
      </w:pPr>
      <w:r>
        <w:rPr>
          <w:rFonts w:ascii="微软雅黑" w:hAnsi="微软雅黑" w:eastAsia="微软雅黑" w:cs="微软雅黑"/>
          <w:color w:val="C00000"/>
          <w:shd w:val="clear" w:color="auto" w:fill="FFFFFF"/>
        </w:rPr>
        <w:t>深圳市</w:t>
      </w:r>
      <w:r>
        <w:rPr>
          <w:rFonts w:hint="eastAsia" w:ascii="微软雅黑" w:hAnsi="微软雅黑" w:eastAsia="微软雅黑" w:cs="微软雅黑"/>
          <w:color w:val="C00000"/>
          <w:shd w:val="clear" w:color="auto" w:fill="FFFFFF"/>
        </w:rPr>
        <w:t>坪山区坑梓社区</w:t>
      </w:r>
      <w:r>
        <w:rPr>
          <w:rFonts w:ascii="微软雅黑" w:hAnsi="微软雅黑" w:eastAsia="微软雅黑" w:cs="微软雅黑"/>
          <w:color w:val="C00000"/>
          <w:shd w:val="clear" w:color="auto" w:fill="FFFFFF"/>
        </w:rPr>
        <w:t>基金会</w:t>
      </w:r>
      <w:r>
        <w:rPr>
          <w:rFonts w:hint="eastAsia" w:ascii="微软雅黑" w:hAnsi="微软雅黑" w:eastAsia="微软雅黑" w:cs="微软雅黑"/>
          <w:color w:val="C00000"/>
          <w:shd w:val="clear" w:color="auto" w:fill="FFFFFF"/>
        </w:rPr>
        <w:t>保值增值</w:t>
      </w:r>
      <w:r>
        <w:rPr>
          <w:rFonts w:ascii="微软雅黑" w:hAnsi="微软雅黑" w:eastAsia="微软雅黑" w:cs="微软雅黑"/>
          <w:color w:val="C00000"/>
          <w:shd w:val="clear" w:color="auto" w:fill="FFFFFF"/>
        </w:rPr>
        <w:t>投资活动管理制度</w:t>
      </w:r>
    </w:p>
    <w:p>
      <w:pPr>
        <w:kinsoku w:val="0"/>
        <w:autoSpaceDE w:val="0"/>
        <w:autoSpaceDN w:val="0"/>
        <w:spacing w:line="100" w:lineRule="atLeast"/>
        <w:textAlignment w:val="baseline"/>
        <w:outlineLvl w:val="1"/>
        <w:rPr>
          <w:rFonts w:ascii="宋体" w:hAnsi="宋体" w:eastAsia="宋体" w:cs="宋体"/>
          <w:snapToGrid w:val="0"/>
          <w:color w:val="000000"/>
          <w:spacing w:val="-5"/>
          <w:sz w:val="32"/>
          <w:szCs w:val="32"/>
        </w:rPr>
      </w:pPr>
      <w:r>
        <w:rPr>
          <w:color w:val="227856"/>
          <w:sz w:val="28"/>
          <w:szCs w:val="28"/>
        </w:rPr>
        <w:pict>
          <v:rect id="_x0000_i1025" o:spt="1" style="height:0.05pt;width:405.35pt;" fillcolor="#A0A0A0" filled="t" stroked="f" coordsize="21600,21600" o:hr="t" o:hrstd="t" o:hrpct="976" o:hralign="center">
            <v:path/>
            <v:fill on="t" focussize="0,0"/>
            <v:stroke on="f"/>
            <v:imagedata o:title=""/>
            <o:lock v:ext="edit"/>
            <w10:wrap type="none"/>
            <w10:anchorlock/>
          </v:rect>
        </w:pict>
      </w:r>
    </w:p>
    <w:p>
      <w:pPr>
        <w:jc w:val="center"/>
        <w:rPr>
          <w:rFonts w:ascii="黑体" w:hAnsi="黑体" w:eastAsia="黑体"/>
          <w:b/>
          <w:sz w:val="30"/>
          <w:szCs w:val="30"/>
        </w:rPr>
      </w:pPr>
    </w:p>
    <w:p>
      <w:pPr>
        <w:jc w:val="center"/>
        <w:rPr>
          <w:rFonts w:ascii="黑体" w:hAnsi="黑体" w:eastAsia="黑体"/>
          <w:b/>
          <w:sz w:val="30"/>
          <w:szCs w:val="30"/>
        </w:rPr>
      </w:pPr>
      <w:r>
        <w:rPr>
          <w:rFonts w:ascii="黑体" w:hAnsi="黑体" w:eastAsia="黑体"/>
          <w:b/>
          <w:sz w:val="30"/>
          <w:szCs w:val="30"/>
        </w:rPr>
        <w:t>第一章 总则</w:t>
      </w:r>
    </w:p>
    <w:p>
      <w:pPr>
        <w:kinsoku w:val="0"/>
        <w:autoSpaceDE w:val="0"/>
        <w:autoSpaceDN w:val="0"/>
        <w:spacing w:before="240" w:after="0" w:line="360" w:lineRule="auto"/>
        <w:textAlignment w:val="baseline"/>
        <w:rPr>
          <w:rFonts w:ascii="仿宋" w:hAnsi="仿宋" w:eastAsia="仿宋"/>
          <w:sz w:val="28"/>
          <w:szCs w:val="28"/>
        </w:rPr>
      </w:pPr>
      <w:r>
        <w:rPr>
          <w:rFonts w:ascii="仿宋" w:hAnsi="仿宋" w:eastAsia="仿宋"/>
          <w:b/>
          <w:sz w:val="28"/>
          <w:szCs w:val="28"/>
        </w:rPr>
        <w:t xml:space="preserve">第一条 </w:t>
      </w:r>
      <w:r>
        <w:rPr>
          <w:rFonts w:hint="eastAsia" w:ascii="仿宋" w:hAnsi="仿宋" w:eastAsia="仿宋"/>
          <w:sz w:val="28"/>
          <w:szCs w:val="28"/>
        </w:rPr>
        <w:t>为规范深圳市坪山区坑梓社区基金会（以下简称“基金会”）的投资行为，规避法律风险，保证投资决策的科学性和效率，根据《中华人民共和国慈善法》、《慈善组织保值增值投资活动管理暂行办法》等法律法规的规定及本基金会章程，制定本制度。</w:t>
      </w:r>
    </w:p>
    <w:p>
      <w:pPr>
        <w:kinsoku w:val="0"/>
        <w:autoSpaceDE w:val="0"/>
        <w:autoSpaceDN w:val="0"/>
        <w:spacing w:before="305" w:line="316" w:lineRule="auto"/>
        <w:ind w:right="115"/>
        <w:textAlignment w:val="baseline"/>
        <w:rPr>
          <w:rFonts w:ascii="仿宋" w:hAnsi="仿宋" w:eastAsia="仿宋"/>
          <w:sz w:val="28"/>
          <w:szCs w:val="28"/>
        </w:rPr>
      </w:pPr>
      <w:r>
        <w:rPr>
          <w:rFonts w:ascii="仿宋" w:hAnsi="仿宋" w:eastAsia="仿宋"/>
          <w:b/>
          <w:sz w:val="28"/>
          <w:szCs w:val="28"/>
        </w:rPr>
        <w:t xml:space="preserve">第二条 </w:t>
      </w:r>
      <w:r>
        <w:rPr>
          <w:rFonts w:hint="eastAsia" w:ascii="仿宋" w:hAnsi="仿宋" w:eastAsia="仿宋"/>
          <w:sz w:val="28"/>
          <w:szCs w:val="28"/>
        </w:rPr>
        <w:t>本制度规定了基金会的投资原则，投资范围，投资负面清单，投资决策程序和管理流程，理事会在投资活动中的相关职责，重大投资标准，投资风险管控，投资活动中止、终止退出机制，违规投资责任追究等内容。</w:t>
      </w:r>
    </w:p>
    <w:p>
      <w:pPr>
        <w:jc w:val="center"/>
        <w:rPr>
          <w:rFonts w:ascii="黑体" w:hAnsi="黑体" w:eastAsia="黑体"/>
          <w:b/>
          <w:sz w:val="30"/>
          <w:szCs w:val="30"/>
        </w:rPr>
      </w:pPr>
      <w:r>
        <w:rPr>
          <w:rFonts w:ascii="黑体" w:hAnsi="黑体" w:eastAsia="黑体"/>
          <w:b/>
          <w:sz w:val="30"/>
          <w:szCs w:val="30"/>
        </w:rPr>
        <w:t>第二章  投资的基本原则</w:t>
      </w:r>
    </w:p>
    <w:p>
      <w:pPr>
        <w:kinsoku w:val="0"/>
        <w:autoSpaceDE w:val="0"/>
        <w:autoSpaceDN w:val="0"/>
        <w:spacing w:before="305" w:line="360" w:lineRule="auto"/>
        <w:ind w:right="115"/>
        <w:textAlignment w:val="baseline"/>
        <w:rPr>
          <w:rFonts w:ascii="仿宋" w:hAnsi="仿宋" w:eastAsia="仿宋"/>
          <w:sz w:val="28"/>
          <w:szCs w:val="28"/>
        </w:rPr>
      </w:pPr>
      <w:r>
        <w:rPr>
          <w:rFonts w:ascii="仿宋" w:hAnsi="仿宋" w:eastAsia="仿宋"/>
          <w:b/>
          <w:sz w:val="28"/>
          <w:szCs w:val="28"/>
        </w:rPr>
        <w:t>第三条</w:t>
      </w:r>
      <w:r>
        <w:rPr>
          <w:rFonts w:ascii="仿宋" w:hAnsi="仿宋" w:eastAsia="仿宋" w:cs="仿宋"/>
          <w:snapToGrid w:val="0"/>
          <w:color w:val="000000"/>
          <w:spacing w:val="27"/>
          <w:sz w:val="32"/>
          <w:szCs w:val="32"/>
        </w:rPr>
        <w:t xml:space="preserve"> </w:t>
      </w:r>
      <w:r>
        <w:rPr>
          <w:rFonts w:hint="eastAsia" w:ascii="仿宋" w:hAnsi="仿宋" w:eastAsia="仿宋"/>
          <w:sz w:val="28"/>
          <w:szCs w:val="28"/>
        </w:rPr>
        <w:t>基金会开展投资活动应当遵循合法、安全、有效的基本原则，投资取得的收益全部用于基金会章程规定的慈 善目的。</w:t>
      </w:r>
    </w:p>
    <w:p>
      <w:pPr>
        <w:jc w:val="center"/>
        <w:rPr>
          <w:rFonts w:ascii="黑体" w:hAnsi="黑体" w:eastAsia="黑体"/>
          <w:b/>
          <w:sz w:val="30"/>
          <w:szCs w:val="30"/>
        </w:rPr>
      </w:pPr>
      <w:r>
        <w:rPr>
          <w:rFonts w:ascii="黑体" w:hAnsi="黑体" w:eastAsia="黑体"/>
          <w:b/>
          <w:sz w:val="30"/>
          <w:szCs w:val="30"/>
        </w:rPr>
        <w:t>第三章  投资活动的范围</w:t>
      </w:r>
    </w:p>
    <w:p>
      <w:pPr>
        <w:kinsoku w:val="0"/>
        <w:autoSpaceDE w:val="0"/>
        <w:autoSpaceDN w:val="0"/>
        <w:spacing w:before="271" w:line="316" w:lineRule="auto"/>
        <w:ind w:right="116"/>
        <w:textAlignment w:val="baseline"/>
        <w:rPr>
          <w:rFonts w:ascii="仿宋" w:hAnsi="仿宋" w:eastAsia="仿宋"/>
          <w:sz w:val="28"/>
          <w:szCs w:val="28"/>
        </w:rPr>
      </w:pPr>
      <w:r>
        <w:rPr>
          <w:rFonts w:ascii="仿宋" w:hAnsi="仿宋" w:eastAsia="仿宋"/>
          <w:b/>
          <w:sz w:val="28"/>
          <w:szCs w:val="28"/>
        </w:rPr>
        <w:t>第四条</w:t>
      </w:r>
      <w:r>
        <w:rPr>
          <w:rFonts w:ascii="仿宋" w:hAnsi="仿宋" w:eastAsia="仿宋" w:cs="仿宋"/>
          <w:snapToGrid w:val="0"/>
          <w:color w:val="000000"/>
          <w:spacing w:val="59"/>
          <w:sz w:val="32"/>
          <w:szCs w:val="32"/>
        </w:rPr>
        <w:t xml:space="preserve"> </w:t>
      </w:r>
      <w:r>
        <w:rPr>
          <w:rFonts w:hint="eastAsia" w:ascii="仿宋" w:hAnsi="仿宋" w:eastAsia="仿宋"/>
          <w:sz w:val="28"/>
          <w:szCs w:val="28"/>
        </w:rPr>
        <w:t>基金会可用于投资的财产是基金会非限定性资产和在投资期间不需要拨付的限定性资产。基金会接受的政府资助的财产和捐赠协议约定不得投资的财产，不得用于投资。</w:t>
      </w:r>
    </w:p>
    <w:p>
      <w:pPr>
        <w:kinsoku w:val="0"/>
        <w:autoSpaceDE w:val="0"/>
        <w:autoSpaceDN w:val="0"/>
        <w:spacing w:before="305" w:line="184" w:lineRule="auto"/>
        <w:textAlignment w:val="baseline"/>
        <w:rPr>
          <w:rFonts w:ascii="仿宋" w:hAnsi="仿宋" w:eastAsia="仿宋"/>
          <w:sz w:val="28"/>
          <w:szCs w:val="28"/>
        </w:rPr>
      </w:pPr>
      <w:r>
        <w:rPr>
          <w:rFonts w:ascii="仿宋" w:hAnsi="仿宋" w:eastAsia="仿宋"/>
          <w:b/>
          <w:sz w:val="28"/>
          <w:szCs w:val="28"/>
        </w:rPr>
        <w:t>第五条</w:t>
      </w:r>
      <w:r>
        <w:rPr>
          <w:rFonts w:ascii="仿宋" w:hAnsi="仿宋" w:eastAsia="仿宋" w:cs="仿宋"/>
          <w:snapToGrid w:val="0"/>
          <w:color w:val="000000"/>
          <w:spacing w:val="33"/>
          <w:sz w:val="32"/>
          <w:szCs w:val="32"/>
        </w:rPr>
        <w:t xml:space="preserve"> </w:t>
      </w:r>
      <w:r>
        <w:rPr>
          <w:rFonts w:hint="eastAsia" w:ascii="仿宋" w:hAnsi="仿宋" w:eastAsia="仿宋"/>
          <w:sz w:val="28"/>
          <w:szCs w:val="28"/>
        </w:rPr>
        <w:t>基金会的投资活动主要包括以下形式：</w:t>
      </w:r>
    </w:p>
    <w:p>
      <w:pPr>
        <w:kinsoku w:val="0"/>
        <w:autoSpaceDE w:val="0"/>
        <w:autoSpaceDN w:val="0"/>
        <w:spacing w:before="271" w:line="316" w:lineRule="auto"/>
        <w:ind w:right="116" w:firstLine="140" w:firstLineChars="50"/>
        <w:textAlignment w:val="baseline"/>
        <w:rPr>
          <w:rFonts w:ascii="仿宋" w:hAnsi="仿宋" w:eastAsia="仿宋"/>
          <w:sz w:val="28"/>
          <w:szCs w:val="28"/>
        </w:rPr>
      </w:pPr>
      <w:r>
        <w:rPr>
          <w:rFonts w:hint="eastAsia" w:ascii="仿宋" w:hAnsi="仿宋" w:eastAsia="仿宋"/>
          <w:sz w:val="28"/>
          <w:szCs w:val="28"/>
        </w:rPr>
        <w:t>（一）直接购买银行、信托、证券、基金、期货、保险资产管理机构、金融资产投资公司等金融机构发行的资产管理产品；</w:t>
      </w:r>
    </w:p>
    <w:p>
      <w:pPr>
        <w:kinsoku w:val="0"/>
        <w:autoSpaceDE w:val="0"/>
        <w:autoSpaceDN w:val="0"/>
        <w:spacing w:before="271" w:line="316" w:lineRule="auto"/>
        <w:ind w:right="116" w:firstLine="140" w:firstLineChars="50"/>
        <w:textAlignment w:val="baseline"/>
        <w:rPr>
          <w:rFonts w:ascii="仿宋" w:hAnsi="仿宋" w:eastAsia="仿宋"/>
          <w:sz w:val="28"/>
          <w:szCs w:val="28"/>
        </w:rPr>
      </w:pPr>
      <w:r>
        <w:rPr>
          <w:rFonts w:hint="eastAsia" w:ascii="仿宋" w:hAnsi="仿宋" w:eastAsia="仿宋"/>
          <w:sz w:val="28"/>
          <w:szCs w:val="28"/>
        </w:rPr>
        <w:t>（二）委托中国境内有资质且信誉较高的投资管理公司进行投资；</w:t>
      </w:r>
    </w:p>
    <w:p>
      <w:pPr>
        <w:kinsoku w:val="0"/>
        <w:autoSpaceDE w:val="0"/>
        <w:autoSpaceDN w:val="0"/>
        <w:spacing w:before="271" w:line="316" w:lineRule="auto"/>
        <w:ind w:right="116" w:firstLine="140" w:firstLineChars="50"/>
        <w:textAlignment w:val="baseline"/>
        <w:rPr>
          <w:rFonts w:ascii="仿宋" w:hAnsi="仿宋" w:eastAsia="仿宋"/>
          <w:sz w:val="28"/>
          <w:szCs w:val="28"/>
        </w:rPr>
      </w:pPr>
      <w:r>
        <w:rPr>
          <w:rFonts w:hint="eastAsia" w:ascii="仿宋" w:hAnsi="仿宋" w:eastAsia="仿宋"/>
          <w:sz w:val="28"/>
          <w:szCs w:val="28"/>
        </w:rPr>
        <w:t>（三）通过发起、并购、参股等方式直接进行股权投资。</w:t>
      </w:r>
    </w:p>
    <w:p>
      <w:pPr>
        <w:jc w:val="center"/>
        <w:rPr>
          <w:rFonts w:ascii="黑体" w:hAnsi="黑体" w:eastAsia="黑体"/>
          <w:b/>
          <w:sz w:val="30"/>
          <w:szCs w:val="30"/>
        </w:rPr>
      </w:pPr>
      <w:r>
        <w:rPr>
          <w:rFonts w:ascii="黑体" w:hAnsi="黑体" w:eastAsia="黑体"/>
          <w:b/>
          <w:sz w:val="30"/>
          <w:szCs w:val="30"/>
        </w:rPr>
        <w:t>第四章 投资负面清单</w:t>
      </w:r>
    </w:p>
    <w:p>
      <w:pPr>
        <w:kinsoku w:val="0"/>
        <w:autoSpaceDE w:val="0"/>
        <w:autoSpaceDN w:val="0"/>
        <w:spacing w:before="305" w:line="184" w:lineRule="auto"/>
        <w:textAlignment w:val="baseline"/>
        <w:rPr>
          <w:rFonts w:ascii="仿宋" w:hAnsi="仿宋" w:eastAsia="仿宋"/>
          <w:sz w:val="28"/>
          <w:szCs w:val="28"/>
        </w:rPr>
      </w:pPr>
      <w:r>
        <w:rPr>
          <w:rFonts w:ascii="仿宋" w:hAnsi="仿宋" w:eastAsia="仿宋"/>
          <w:b/>
          <w:sz w:val="28"/>
          <w:szCs w:val="28"/>
        </w:rPr>
        <w:t>第六条</w:t>
      </w:r>
      <w:r>
        <w:rPr>
          <w:rFonts w:ascii="仿宋" w:hAnsi="仿宋" w:eastAsia="仿宋" w:cs="仿宋"/>
          <w:snapToGrid w:val="0"/>
          <w:color w:val="000000"/>
          <w:spacing w:val="35"/>
          <w:sz w:val="32"/>
          <w:szCs w:val="32"/>
        </w:rPr>
        <w:t xml:space="preserve"> </w:t>
      </w:r>
      <w:r>
        <w:rPr>
          <w:rFonts w:hint="eastAsia" w:ascii="仿宋" w:hAnsi="仿宋" w:eastAsia="仿宋"/>
          <w:sz w:val="28"/>
          <w:szCs w:val="28"/>
        </w:rPr>
        <w:t>基金会不得进行下列投资活动：</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（一）直接买卖股票；</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（二）直接购买商品及金融衍生品类产品；</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（三）投资人身保险产品；</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（四）以投资名义向个人、企业提供借款；</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（五）不符合国家产业政策的投资；</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（六）可能使基金会承担无限责任的投资；</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（七）违背基金会宗旨、可能损害基金会信誉的投资；</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（八）非法集资等国家法律法规禁止的其他活动。</w:t>
      </w:r>
    </w:p>
    <w:p>
      <w:pPr>
        <w:kinsoku w:val="0"/>
        <w:autoSpaceDE w:val="0"/>
        <w:autoSpaceDN w:val="0"/>
        <w:spacing w:before="305" w:line="184" w:lineRule="auto"/>
        <w:textAlignment w:val="baseline"/>
        <w:rPr>
          <w:rFonts w:ascii="仿宋" w:hAnsi="仿宋" w:eastAsia="仿宋"/>
          <w:sz w:val="28"/>
          <w:szCs w:val="28"/>
        </w:rPr>
      </w:pPr>
    </w:p>
    <w:p>
      <w:pPr>
        <w:jc w:val="center"/>
        <w:rPr>
          <w:rFonts w:ascii="黑体" w:hAnsi="黑体" w:eastAsia="黑体"/>
          <w:b/>
          <w:sz w:val="30"/>
          <w:szCs w:val="30"/>
        </w:rPr>
      </w:pPr>
      <w:r>
        <w:rPr>
          <w:rFonts w:ascii="黑体" w:hAnsi="黑体" w:eastAsia="黑体"/>
          <w:b/>
          <w:sz w:val="30"/>
          <w:szCs w:val="30"/>
        </w:rPr>
        <w:t>第五章  投资决策程序</w:t>
      </w:r>
      <w:r>
        <w:rPr>
          <w:rFonts w:hint="eastAsia" w:ascii="黑体" w:hAnsi="黑体" w:eastAsia="黑体"/>
          <w:b/>
          <w:sz w:val="30"/>
          <w:szCs w:val="30"/>
        </w:rPr>
        <w:t>、</w:t>
      </w:r>
      <w:r>
        <w:rPr>
          <w:rFonts w:ascii="黑体" w:hAnsi="黑体" w:eastAsia="黑体"/>
          <w:b/>
          <w:sz w:val="30"/>
          <w:szCs w:val="30"/>
        </w:rPr>
        <w:t>管理流程和相关职责</w:t>
      </w:r>
    </w:p>
    <w:p>
      <w:pPr>
        <w:kinsoku w:val="0"/>
        <w:autoSpaceDE w:val="0"/>
        <w:autoSpaceDN w:val="0"/>
        <w:spacing w:before="305" w:line="276" w:lineRule="auto"/>
        <w:textAlignment w:val="baseline"/>
        <w:rPr>
          <w:rFonts w:ascii="仿宋" w:hAnsi="仿宋" w:eastAsia="仿宋"/>
          <w:sz w:val="28"/>
          <w:szCs w:val="28"/>
        </w:rPr>
      </w:pPr>
      <w:r>
        <w:rPr>
          <w:rFonts w:ascii="仿宋" w:hAnsi="仿宋" w:eastAsia="仿宋"/>
          <w:b/>
          <w:sz w:val="28"/>
          <w:szCs w:val="28"/>
        </w:rPr>
        <w:t>第七条</w:t>
      </w:r>
      <w:r>
        <w:rPr>
          <w:rFonts w:ascii="仿宋" w:hAnsi="仿宋" w:eastAsia="仿宋" w:cs="仿宋"/>
          <w:snapToGrid w:val="0"/>
          <w:color w:val="000000"/>
          <w:spacing w:val="52"/>
          <w:sz w:val="32"/>
          <w:szCs w:val="32"/>
        </w:rPr>
        <w:t xml:space="preserve"> </w:t>
      </w:r>
      <w:r>
        <w:rPr>
          <w:rFonts w:hint="eastAsia" w:ascii="仿宋" w:hAnsi="仿宋" w:eastAsia="仿宋"/>
          <w:sz w:val="28"/>
          <w:szCs w:val="28"/>
        </w:rPr>
        <w:t>理事会是基金会的投资决策机构，在管理基金会的投资活动中承担以下职责：</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（一）负责基金会保值增值投资活动制度的制定和修改；</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（二）决定基金会的投资活动。</w:t>
      </w:r>
    </w:p>
    <w:p>
      <w:pPr>
        <w:kinsoku w:val="0"/>
        <w:autoSpaceDE w:val="0"/>
        <w:autoSpaceDN w:val="0"/>
        <w:spacing w:before="271" w:line="316" w:lineRule="auto"/>
        <w:ind w:right="116"/>
        <w:textAlignment w:val="baseline"/>
        <w:rPr>
          <w:rFonts w:ascii="仿宋" w:hAnsi="仿宋" w:eastAsia="仿宋"/>
          <w:sz w:val="28"/>
          <w:szCs w:val="28"/>
        </w:rPr>
      </w:pPr>
      <w:r>
        <w:rPr>
          <w:rFonts w:ascii="仿宋" w:hAnsi="仿宋" w:eastAsia="仿宋"/>
          <w:b/>
          <w:sz w:val="28"/>
          <w:szCs w:val="28"/>
        </w:rPr>
        <w:t>第八条</w:t>
      </w:r>
      <w:r>
        <w:rPr>
          <w:rFonts w:ascii="仿宋" w:hAnsi="仿宋" w:eastAsia="仿宋" w:cs="仿宋"/>
          <w:snapToGrid w:val="0"/>
          <w:color w:val="000000"/>
          <w:spacing w:val="58"/>
          <w:sz w:val="32"/>
          <w:szCs w:val="32"/>
        </w:rPr>
        <w:t xml:space="preserve"> </w:t>
      </w:r>
      <w:r>
        <w:rPr>
          <w:rFonts w:hint="eastAsia" w:ascii="仿宋" w:hAnsi="仿宋" w:eastAsia="仿宋"/>
          <w:sz w:val="28"/>
          <w:szCs w:val="28"/>
        </w:rPr>
        <w:t>基金会可以投资不动产或从事股权投资,但必须确定该不动产或股权投资有良好的收益和可变现性。基金会直接进行股权投资时，被投资方的经营范围应当与基金会的宗旨和业务范围相关。基金会不选择需要直接参与经营的投资活动。</w:t>
      </w:r>
    </w:p>
    <w:p>
      <w:pPr>
        <w:kinsoku w:val="0"/>
        <w:autoSpaceDE w:val="0"/>
        <w:autoSpaceDN w:val="0"/>
        <w:spacing w:before="271" w:line="316" w:lineRule="auto"/>
        <w:ind w:right="116"/>
        <w:textAlignment w:val="baseline"/>
        <w:rPr>
          <w:rFonts w:ascii="仿宋" w:hAnsi="仿宋" w:eastAsia="仿宋" w:cs="仿宋"/>
          <w:snapToGrid w:val="0"/>
          <w:color w:val="000000"/>
          <w:spacing w:val="2"/>
          <w:sz w:val="32"/>
          <w:szCs w:val="32"/>
        </w:rPr>
      </w:pPr>
      <w:r>
        <w:rPr>
          <w:rFonts w:ascii="仿宋" w:hAnsi="仿宋" w:eastAsia="仿宋"/>
          <w:b/>
          <w:sz w:val="28"/>
          <w:szCs w:val="28"/>
        </w:rPr>
        <w:t>第九条</w:t>
      </w:r>
      <w:r>
        <w:rPr>
          <w:rFonts w:ascii="仿宋" w:hAnsi="仿宋" w:eastAsia="仿宋" w:cs="仿宋"/>
          <w:snapToGrid w:val="0"/>
          <w:color w:val="000000"/>
          <w:spacing w:val="37"/>
          <w:sz w:val="32"/>
          <w:szCs w:val="32"/>
        </w:rPr>
        <w:t xml:space="preserve"> </w:t>
      </w:r>
      <w:r>
        <w:rPr>
          <w:rFonts w:hint="eastAsia" w:ascii="仿宋" w:hAnsi="仿宋" w:eastAsia="仿宋"/>
          <w:sz w:val="28"/>
          <w:szCs w:val="28"/>
        </w:rPr>
        <w:t>基金会的投资合同须由基金会法定代表人签字。</w:t>
      </w:r>
    </w:p>
    <w:p>
      <w:pPr>
        <w:kinsoku w:val="0"/>
        <w:autoSpaceDE w:val="0"/>
        <w:autoSpaceDN w:val="0"/>
        <w:spacing w:before="271" w:line="316" w:lineRule="auto"/>
        <w:ind w:right="116"/>
        <w:textAlignment w:val="baseline"/>
        <w:rPr>
          <w:rFonts w:ascii="仿宋" w:hAnsi="仿宋" w:eastAsia="仿宋" w:cs="仿宋"/>
          <w:snapToGrid w:val="0"/>
          <w:color w:val="000000"/>
          <w:spacing w:val="2"/>
          <w:sz w:val="32"/>
          <w:szCs w:val="32"/>
        </w:rPr>
      </w:pPr>
      <w:r>
        <w:rPr>
          <w:rFonts w:hint="eastAsia" w:ascii="仿宋" w:hAnsi="仿宋" w:eastAsia="仿宋"/>
          <w:b/>
          <w:sz w:val="28"/>
          <w:szCs w:val="28"/>
        </w:rPr>
        <w:t>第十条</w:t>
      </w:r>
      <w:r>
        <w:rPr>
          <w:rFonts w:hint="eastAsia" w:ascii="仿宋" w:hAnsi="仿宋" w:eastAsia="仿宋" w:cs="仿宋"/>
          <w:snapToGrid w:val="0"/>
          <w:color w:val="000000"/>
          <w:spacing w:val="2"/>
          <w:sz w:val="32"/>
          <w:szCs w:val="32"/>
        </w:rPr>
        <w:t xml:space="preserve"> </w:t>
      </w:r>
      <w:r>
        <w:rPr>
          <w:rFonts w:hint="eastAsia" w:ascii="仿宋" w:hAnsi="仿宋" w:eastAsia="仿宋"/>
          <w:sz w:val="28"/>
          <w:szCs w:val="28"/>
        </w:rPr>
        <w:t>在投资活动中，基金会理事及其近亲属不得与基金会有任何交易的行为。</w:t>
      </w:r>
    </w:p>
    <w:p>
      <w:pPr>
        <w:kinsoku w:val="0"/>
        <w:autoSpaceDE w:val="0"/>
        <w:autoSpaceDN w:val="0"/>
        <w:spacing w:before="306" w:line="301" w:lineRule="auto"/>
        <w:ind w:right="274"/>
        <w:textAlignment w:val="baseline"/>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十</w:t>
      </w:r>
      <w:r>
        <w:rPr>
          <w:rFonts w:ascii="仿宋" w:hAnsi="仿宋" w:eastAsia="仿宋"/>
          <w:b/>
          <w:sz w:val="28"/>
          <w:szCs w:val="28"/>
        </w:rPr>
        <w:t>一条</w:t>
      </w:r>
      <w:r>
        <w:rPr>
          <w:rFonts w:ascii="仿宋" w:hAnsi="仿宋" w:eastAsia="仿宋" w:cs="仿宋"/>
          <w:snapToGrid w:val="0"/>
          <w:color w:val="000000"/>
          <w:spacing w:val="50"/>
          <w:sz w:val="32"/>
          <w:szCs w:val="32"/>
        </w:rPr>
        <w:t xml:space="preserve"> </w:t>
      </w:r>
      <w:r>
        <w:rPr>
          <w:rFonts w:hint="eastAsia" w:ascii="仿宋" w:hAnsi="仿宋" w:eastAsia="仿宋"/>
          <w:sz w:val="28"/>
          <w:szCs w:val="28"/>
        </w:rPr>
        <w:t>基金会秘书处项目管理部门为投资活动建立专项档案，完整保存投资的决策、执行、管理等资料。专项档案的保存时间不少于20年。</w:t>
      </w:r>
    </w:p>
    <w:p>
      <w:pPr>
        <w:jc w:val="center"/>
        <w:rPr>
          <w:rFonts w:ascii="黑体" w:hAnsi="黑体" w:eastAsia="黑体"/>
          <w:b/>
          <w:sz w:val="30"/>
          <w:szCs w:val="30"/>
        </w:rPr>
      </w:pPr>
      <w:r>
        <w:rPr>
          <w:rFonts w:ascii="黑体" w:hAnsi="黑体" w:eastAsia="黑体"/>
          <w:b/>
          <w:sz w:val="30"/>
          <w:szCs w:val="30"/>
        </w:rPr>
        <w:t>第六章 重大投资</w:t>
      </w:r>
    </w:p>
    <w:p>
      <w:pPr>
        <w:kinsoku w:val="0"/>
        <w:autoSpaceDE w:val="0"/>
        <w:autoSpaceDN w:val="0"/>
        <w:spacing w:before="306" w:line="301" w:lineRule="auto"/>
        <w:ind w:right="274"/>
        <w:textAlignment w:val="baseline"/>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十</w:t>
      </w:r>
      <w:r>
        <w:rPr>
          <w:rFonts w:ascii="仿宋" w:hAnsi="仿宋" w:eastAsia="仿宋"/>
          <w:b/>
          <w:sz w:val="28"/>
          <w:szCs w:val="28"/>
        </w:rPr>
        <w:t>二条</w:t>
      </w:r>
      <w:r>
        <w:rPr>
          <w:rFonts w:ascii="仿宋" w:hAnsi="仿宋" w:eastAsia="仿宋" w:cs="仿宋"/>
          <w:snapToGrid w:val="0"/>
          <w:color w:val="000000"/>
          <w:spacing w:val="26"/>
          <w:sz w:val="32"/>
          <w:szCs w:val="32"/>
        </w:rPr>
        <w:t xml:space="preserve"> </w:t>
      </w:r>
      <w:r>
        <w:rPr>
          <w:rFonts w:hint="eastAsia" w:ascii="仿宋" w:hAnsi="仿宋" w:eastAsia="仿宋"/>
          <w:sz w:val="28"/>
          <w:szCs w:val="28"/>
        </w:rPr>
        <w:t>本基金会的重大投资、公益活动是指：</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（一）需一次性资助50万元以上的公益项目或是捐赠活动；</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（二）一次性投资人民币200万元以上的投资活动；</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（三）其它理事会认为重大的捐赠、投资活动。</w:t>
      </w:r>
    </w:p>
    <w:p>
      <w:pPr>
        <w:kinsoku w:val="0"/>
        <w:autoSpaceDE w:val="0"/>
        <w:autoSpaceDN w:val="0"/>
        <w:spacing w:before="306" w:line="360" w:lineRule="auto"/>
        <w:ind w:right="276"/>
        <w:textAlignment w:val="baseline"/>
        <w:rPr>
          <w:rFonts w:ascii="仿宋" w:hAnsi="仿宋" w:eastAsia="仿宋" w:cs="仿宋"/>
          <w:snapToGrid w:val="0"/>
          <w:color w:val="000000"/>
          <w:spacing w:val="2"/>
          <w:sz w:val="32"/>
          <w:szCs w:val="32"/>
        </w:rPr>
      </w:pPr>
      <w:r>
        <w:rPr>
          <w:rFonts w:ascii="仿宋" w:hAnsi="仿宋" w:eastAsia="仿宋"/>
          <w:b/>
          <w:sz w:val="28"/>
          <w:szCs w:val="28"/>
        </w:rPr>
        <w:t>第十三条</w:t>
      </w:r>
      <w:r>
        <w:rPr>
          <w:rFonts w:ascii="仿宋" w:hAnsi="仿宋" w:eastAsia="仿宋" w:cs="仿宋"/>
          <w:snapToGrid w:val="0"/>
          <w:color w:val="000000"/>
          <w:spacing w:val="59"/>
          <w:sz w:val="32"/>
          <w:szCs w:val="32"/>
        </w:rPr>
        <w:t xml:space="preserve"> </w:t>
      </w:r>
      <w:r>
        <w:rPr>
          <w:rFonts w:hint="eastAsia" w:ascii="仿宋" w:hAnsi="仿宋" w:eastAsia="仿宋"/>
          <w:sz w:val="28"/>
          <w:szCs w:val="28"/>
        </w:rPr>
        <w:t>基金会的重大投资必须经过理事会成员三分 之二以上同意方可执行。</w:t>
      </w:r>
    </w:p>
    <w:p>
      <w:pPr>
        <w:jc w:val="center"/>
        <w:rPr>
          <w:rFonts w:ascii="黑体" w:hAnsi="黑体" w:eastAsia="黑体"/>
          <w:b/>
          <w:sz w:val="30"/>
          <w:szCs w:val="30"/>
        </w:rPr>
      </w:pPr>
      <w:r>
        <w:rPr>
          <w:rFonts w:ascii="黑体" w:hAnsi="黑体" w:eastAsia="黑体"/>
          <w:b/>
          <w:sz w:val="30"/>
          <w:szCs w:val="30"/>
        </w:rPr>
        <w:t>第七章 投资风险控制与止损机制</w:t>
      </w:r>
    </w:p>
    <w:p>
      <w:pPr>
        <w:kinsoku w:val="0"/>
        <w:autoSpaceDE w:val="0"/>
        <w:autoSpaceDN w:val="0"/>
        <w:spacing w:before="305" w:line="360" w:lineRule="auto"/>
        <w:ind w:right="23"/>
        <w:textAlignment w:val="baseline"/>
        <w:rPr>
          <w:rFonts w:ascii="仿宋" w:hAnsi="仿宋" w:eastAsia="仿宋"/>
          <w:sz w:val="28"/>
          <w:szCs w:val="28"/>
        </w:rPr>
      </w:pPr>
      <w:r>
        <w:rPr>
          <w:rFonts w:ascii="仿宋" w:hAnsi="仿宋" w:eastAsia="仿宋"/>
          <w:b/>
          <w:sz w:val="28"/>
          <w:szCs w:val="28"/>
        </w:rPr>
        <w:t>第十四条</w:t>
      </w:r>
      <w:r>
        <w:rPr>
          <w:rFonts w:ascii="仿宋" w:hAnsi="仿宋" w:eastAsia="仿宋" w:cs="仿宋"/>
          <w:snapToGrid w:val="0"/>
          <w:color w:val="000000"/>
          <w:spacing w:val="62"/>
          <w:sz w:val="32"/>
          <w:szCs w:val="32"/>
        </w:rPr>
        <w:t xml:space="preserve"> </w:t>
      </w:r>
      <w:r>
        <w:rPr>
          <w:rFonts w:hint="eastAsia" w:ascii="仿宋" w:hAnsi="仿宋" w:eastAsia="仿宋"/>
          <w:sz w:val="28"/>
          <w:szCs w:val="28"/>
        </w:rPr>
        <w:t>理事会负责跟踪管理投资的进展及安全状况，并尽快做出决定，避免或减少损失。</w:t>
      </w:r>
    </w:p>
    <w:p>
      <w:pPr>
        <w:kinsoku w:val="0"/>
        <w:autoSpaceDE w:val="0"/>
        <w:autoSpaceDN w:val="0"/>
        <w:spacing w:before="305" w:line="360" w:lineRule="auto"/>
        <w:ind w:right="23"/>
        <w:textAlignment w:val="baseline"/>
        <w:rPr>
          <w:rFonts w:ascii="仿宋" w:hAnsi="仿宋" w:eastAsia="仿宋"/>
          <w:sz w:val="28"/>
          <w:szCs w:val="28"/>
        </w:rPr>
      </w:pPr>
      <w:r>
        <w:rPr>
          <w:rFonts w:ascii="仿宋" w:hAnsi="仿宋" w:eastAsia="仿宋"/>
          <w:b/>
          <w:sz w:val="28"/>
          <w:szCs w:val="28"/>
        </w:rPr>
        <w:t>第十五条</w:t>
      </w:r>
      <w:r>
        <w:rPr>
          <w:rFonts w:ascii="仿宋" w:hAnsi="仿宋" w:eastAsia="仿宋" w:cs="仿宋"/>
          <w:snapToGrid w:val="0"/>
          <w:color w:val="000000"/>
          <w:spacing w:val="57"/>
          <w:sz w:val="32"/>
          <w:szCs w:val="32"/>
        </w:rPr>
        <w:t xml:space="preserve"> </w:t>
      </w:r>
      <w:r>
        <w:rPr>
          <w:rFonts w:hint="eastAsia" w:ascii="仿宋" w:hAnsi="仿宋" w:eastAsia="仿宋" w:cs="仿宋"/>
          <w:snapToGrid w:val="0"/>
          <w:color w:val="000000"/>
          <w:spacing w:val="2"/>
          <w:sz w:val="32"/>
          <w:szCs w:val="32"/>
        </w:rPr>
        <w:t>投</w:t>
      </w:r>
      <w:r>
        <w:rPr>
          <w:rFonts w:hint="eastAsia" w:ascii="仿宋" w:hAnsi="仿宋" w:eastAsia="仿宋"/>
          <w:sz w:val="28"/>
          <w:szCs w:val="28"/>
        </w:rPr>
        <w:t>资活动出现以下情况之一的，投资活动中止、终止或退出：</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（一）投资项目期限届满的；</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（二）投资项目可能会影响基金会宗旨和声誉的；</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（三）委托第三方投资管理公司主体资格灭失或者被司法机关追究</w:t>
      </w:r>
    </w:p>
    <w:p>
      <w:pPr>
        <w:kinsoku w:val="0"/>
        <w:autoSpaceDE w:val="0"/>
        <w:autoSpaceDN w:val="0"/>
        <w:spacing w:before="305" w:line="184" w:lineRule="auto"/>
        <w:textAlignment w:val="baseline"/>
        <w:rPr>
          <w:rFonts w:ascii="仿宋" w:hAnsi="仿宋" w:eastAsia="仿宋"/>
          <w:sz w:val="28"/>
          <w:szCs w:val="28"/>
        </w:rPr>
      </w:pPr>
      <w:r>
        <w:rPr>
          <w:rFonts w:hint="eastAsia" w:ascii="仿宋" w:hAnsi="仿宋" w:eastAsia="仿宋"/>
          <w:sz w:val="28"/>
          <w:szCs w:val="28"/>
        </w:rPr>
        <w:t>刑事责任的；</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（四）理事会认为应当终止的；</w:t>
      </w:r>
    </w:p>
    <w:p>
      <w:pPr>
        <w:kinsoku w:val="0"/>
        <w:autoSpaceDE w:val="0"/>
        <w:autoSpaceDN w:val="0"/>
        <w:spacing w:before="305" w:line="184" w:lineRule="auto"/>
        <w:ind w:firstLine="140" w:firstLineChars="50"/>
        <w:textAlignment w:val="baseline"/>
        <w:rPr>
          <w:rFonts w:ascii="仿宋" w:hAnsi="仿宋" w:eastAsia="仿宋"/>
          <w:sz w:val="28"/>
          <w:szCs w:val="28"/>
        </w:rPr>
      </w:pPr>
      <w:r>
        <w:rPr>
          <w:rFonts w:hint="eastAsia" w:ascii="仿宋" w:hAnsi="仿宋" w:eastAsia="仿宋"/>
          <w:sz w:val="28"/>
          <w:szCs w:val="28"/>
        </w:rPr>
        <w:t>（五）其他应当终止的情形发生的。</w:t>
      </w:r>
    </w:p>
    <w:p>
      <w:pPr>
        <w:kinsoku w:val="0"/>
        <w:autoSpaceDE w:val="0"/>
        <w:autoSpaceDN w:val="0"/>
        <w:spacing w:before="305" w:line="184" w:lineRule="auto"/>
        <w:textAlignment w:val="baseline"/>
        <w:rPr>
          <w:rFonts w:ascii="仿宋" w:hAnsi="仿宋" w:eastAsia="仿宋"/>
          <w:sz w:val="28"/>
          <w:szCs w:val="28"/>
        </w:rPr>
      </w:pPr>
    </w:p>
    <w:p>
      <w:pPr>
        <w:jc w:val="center"/>
        <w:rPr>
          <w:rFonts w:ascii="黑体" w:hAnsi="黑体" w:eastAsia="黑体"/>
          <w:b/>
          <w:sz w:val="30"/>
          <w:szCs w:val="30"/>
        </w:rPr>
      </w:pPr>
      <w:r>
        <w:rPr>
          <w:rFonts w:ascii="黑体" w:hAnsi="黑体" w:eastAsia="黑体"/>
          <w:b/>
          <w:sz w:val="30"/>
          <w:szCs w:val="30"/>
        </w:rPr>
        <w:t>第八章 违规投资责任追究</w:t>
      </w:r>
    </w:p>
    <w:p>
      <w:pPr>
        <w:kinsoku w:val="0"/>
        <w:autoSpaceDE w:val="0"/>
        <w:autoSpaceDN w:val="0"/>
        <w:spacing w:before="304" w:line="360" w:lineRule="auto"/>
        <w:textAlignment w:val="baseline"/>
        <w:rPr>
          <w:rFonts w:ascii="仿宋" w:hAnsi="仿宋" w:eastAsia="仿宋"/>
          <w:sz w:val="28"/>
          <w:szCs w:val="28"/>
        </w:rPr>
      </w:pPr>
      <w:r>
        <w:rPr>
          <w:rFonts w:ascii="仿宋" w:hAnsi="仿宋" w:eastAsia="仿宋"/>
          <w:b/>
          <w:sz w:val="28"/>
          <w:szCs w:val="28"/>
        </w:rPr>
        <w:t>第十六条</w:t>
      </w:r>
      <w:r>
        <w:rPr>
          <w:rFonts w:ascii="仿宋" w:hAnsi="仿宋" w:eastAsia="仿宋" w:cs="仿宋"/>
          <w:snapToGrid w:val="0"/>
          <w:color w:val="000000"/>
          <w:spacing w:val="38"/>
          <w:sz w:val="32"/>
          <w:szCs w:val="32"/>
        </w:rPr>
        <w:t xml:space="preserve"> </w:t>
      </w:r>
      <w:r>
        <w:rPr>
          <w:rFonts w:hint="eastAsia" w:ascii="仿宋" w:hAnsi="仿宋" w:eastAsia="仿宋"/>
          <w:sz w:val="28"/>
          <w:szCs w:val="28"/>
        </w:rPr>
        <w:t>基金会投资行为实体和程序上都合法合规的，尽到了忠实、勤勉、谨慎义务，由于市场不可预见原因导致投资亏损的，并且尽到了止损义务的，决策人员不承担责任。</w:t>
      </w:r>
    </w:p>
    <w:p>
      <w:pPr>
        <w:kinsoku w:val="0"/>
        <w:autoSpaceDE w:val="0"/>
        <w:autoSpaceDN w:val="0"/>
        <w:spacing w:before="1" w:line="360" w:lineRule="auto"/>
        <w:ind w:right="253"/>
        <w:textAlignment w:val="baseline"/>
        <w:rPr>
          <w:rFonts w:ascii="仿宋" w:hAnsi="仿宋" w:eastAsia="仿宋"/>
          <w:sz w:val="28"/>
          <w:szCs w:val="28"/>
        </w:rPr>
      </w:pPr>
      <w:r>
        <w:rPr>
          <w:rFonts w:ascii="仿宋" w:hAnsi="仿宋" w:eastAsia="仿宋"/>
          <w:b/>
          <w:sz w:val="28"/>
          <w:szCs w:val="28"/>
        </w:rPr>
        <w:t>第十七条</w:t>
      </w:r>
      <w:r>
        <w:rPr>
          <w:rFonts w:ascii="仿宋" w:hAnsi="仿宋" w:eastAsia="仿宋" w:cs="仿宋"/>
          <w:snapToGrid w:val="0"/>
          <w:color w:val="000000"/>
          <w:spacing w:val="59"/>
          <w:sz w:val="32"/>
          <w:szCs w:val="32"/>
        </w:rPr>
        <w:t xml:space="preserve"> </w:t>
      </w:r>
      <w:r>
        <w:rPr>
          <w:rFonts w:hint="eastAsia" w:ascii="仿宋" w:hAnsi="仿宋" w:eastAsia="仿宋"/>
          <w:sz w:val="28"/>
          <w:szCs w:val="28"/>
        </w:rPr>
        <w:t>基金会理事违法违规决策致使基金会财产损失的，相关人员应当承担相应赔偿责任。</w:t>
      </w:r>
    </w:p>
    <w:p>
      <w:pPr>
        <w:jc w:val="center"/>
        <w:rPr>
          <w:rFonts w:ascii="黑体" w:hAnsi="黑体" w:eastAsia="黑体"/>
          <w:b/>
          <w:sz w:val="30"/>
          <w:szCs w:val="30"/>
        </w:rPr>
      </w:pPr>
      <w:r>
        <w:rPr>
          <w:rFonts w:ascii="黑体" w:hAnsi="黑体" w:eastAsia="黑体"/>
          <w:b/>
          <w:sz w:val="30"/>
          <w:szCs w:val="30"/>
        </w:rPr>
        <w:t>第九章 附则</w:t>
      </w:r>
    </w:p>
    <w:p>
      <w:pPr>
        <w:rPr>
          <w:rFonts w:ascii="仿宋" w:hAnsi="仿宋" w:eastAsia="仿宋"/>
          <w:sz w:val="28"/>
          <w:szCs w:val="28"/>
        </w:rPr>
      </w:pPr>
      <w:r>
        <w:rPr>
          <w:rFonts w:ascii="仿宋" w:hAnsi="仿宋" w:eastAsia="仿宋"/>
          <w:b/>
          <w:sz w:val="28"/>
          <w:szCs w:val="28"/>
        </w:rPr>
        <w:t>第十八条</w:t>
      </w:r>
      <w:r>
        <w:rPr>
          <w:rFonts w:hint="eastAsia" w:ascii="仿宋" w:hAnsi="仿宋" w:eastAsia="仿宋" w:cs="仿宋"/>
          <w:snapToGrid w:val="0"/>
          <w:color w:val="000000"/>
          <w:spacing w:val="-15"/>
          <w:sz w:val="32"/>
          <w:szCs w:val="32"/>
        </w:rPr>
        <w:t xml:space="preserve"> </w:t>
      </w:r>
      <w:r>
        <w:rPr>
          <w:rFonts w:hint="eastAsia" w:ascii="仿宋" w:hAnsi="仿宋" w:eastAsia="仿宋"/>
          <w:sz w:val="28"/>
          <w:szCs w:val="28"/>
        </w:rPr>
        <w:t>本制度最终解释权归深圳市坪山区坑梓社区基金会所有。</w:t>
      </w:r>
    </w:p>
    <w:p>
      <w:r>
        <w:rPr>
          <w:rFonts w:ascii="仿宋" w:hAnsi="仿宋" w:eastAsia="仿宋"/>
          <w:b/>
          <w:sz w:val="28"/>
          <w:szCs w:val="28"/>
        </w:rPr>
        <w:t>第十九条</w:t>
      </w:r>
      <w:r>
        <w:rPr>
          <w:rFonts w:hint="eastAsia" w:ascii="仿宋" w:hAnsi="仿宋" w:eastAsia="仿宋"/>
          <w:b/>
          <w:sz w:val="28"/>
          <w:szCs w:val="28"/>
        </w:rPr>
        <w:t xml:space="preserve"> </w:t>
      </w:r>
      <w:r>
        <w:rPr>
          <w:rFonts w:hint="eastAsia" w:ascii="仿宋" w:hAnsi="仿宋" w:eastAsia="仿宋" w:cs="仿宋"/>
          <w:sz w:val="28"/>
          <w:szCs w:val="28"/>
        </w:rPr>
        <w:t>本</w:t>
      </w:r>
      <w:r>
        <w:rPr>
          <w:rFonts w:hint="eastAsia" w:ascii="仿宋" w:hAnsi="仿宋" w:eastAsia="仿宋" w:cs="仿宋"/>
          <w:color w:val="000000"/>
          <w:sz w:val="28"/>
          <w:szCs w:val="28"/>
        </w:rPr>
        <w:t>制度经第二届理事会第6次</w:t>
      </w:r>
      <w:r>
        <w:rPr>
          <w:rFonts w:hint="eastAsia" w:ascii="仿宋" w:hAnsi="仿宋" w:eastAsia="仿宋" w:cs="仿宋"/>
          <w:color w:val="000000"/>
          <w:sz w:val="28"/>
          <w:szCs w:val="28"/>
          <w:lang w:eastAsia="zh-CN"/>
        </w:rPr>
        <w:t>会议审议</w:t>
      </w:r>
      <w:r>
        <w:rPr>
          <w:rFonts w:hint="eastAsia" w:ascii="仿宋" w:hAnsi="仿宋" w:eastAsia="仿宋" w:cs="仿宋"/>
          <w:color w:val="000000"/>
          <w:sz w:val="28"/>
          <w:szCs w:val="28"/>
        </w:rPr>
        <w:t>通过</w:t>
      </w:r>
      <w:r>
        <w:rPr>
          <w:rFonts w:hint="eastAsia" w:ascii="仿宋" w:hAnsi="仿宋" w:eastAsia="仿宋" w:cs="仿宋"/>
          <w:color w:val="000000"/>
          <w:sz w:val="28"/>
          <w:szCs w:val="28"/>
          <w:lang w:eastAsia="zh-CN"/>
        </w:rPr>
        <w:t>后</w:t>
      </w:r>
      <w:bookmarkStart w:id="0" w:name="_GoBack"/>
      <w:bookmarkEnd w:id="0"/>
      <w:r>
        <w:rPr>
          <w:rFonts w:hint="eastAsia" w:ascii="仿宋" w:hAnsi="仿宋" w:eastAsia="仿宋" w:cs="仿宋"/>
          <w:color w:val="000000"/>
          <w:sz w:val="28"/>
          <w:szCs w:val="28"/>
        </w:rPr>
        <w:t>执行。</w:t>
      </w:r>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51322"/>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ab/>
    </w:r>
    <w:r>
      <w:rPr>
        <w:rFonts w:hint="eastAsia"/>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51319"/>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620E1"/>
    <w:rsid w:val="0007607E"/>
    <w:rsid w:val="00264857"/>
    <w:rsid w:val="00323B43"/>
    <w:rsid w:val="003870A5"/>
    <w:rsid w:val="003B3DC8"/>
    <w:rsid w:val="003D37D8"/>
    <w:rsid w:val="00426133"/>
    <w:rsid w:val="004358AB"/>
    <w:rsid w:val="00685571"/>
    <w:rsid w:val="00707784"/>
    <w:rsid w:val="0079476D"/>
    <w:rsid w:val="008237F5"/>
    <w:rsid w:val="008B7726"/>
    <w:rsid w:val="00A55370"/>
    <w:rsid w:val="00C8538D"/>
    <w:rsid w:val="00CB1218"/>
    <w:rsid w:val="00D31D50"/>
    <w:rsid w:val="00EC4239"/>
    <w:rsid w:val="00F027AB"/>
    <w:rsid w:val="00F43B1F"/>
    <w:rsid w:val="00F45EF1"/>
    <w:rsid w:val="11F1135A"/>
    <w:rsid w:val="D62ED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微软雅黑" w:cs="微软雅黑"/>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8"/>
    <w:unhideWhenUsed/>
    <w:qFormat/>
    <w:uiPriority w:val="0"/>
    <w:pPr>
      <w:keepNext/>
      <w:keepLines/>
      <w:widowControl w:val="0"/>
      <w:adjustRightInd/>
      <w:snapToGrid/>
      <w:spacing w:before="260" w:after="260" w:line="416" w:lineRule="auto"/>
      <w:jc w:val="both"/>
      <w:outlineLvl w:val="1"/>
    </w:pPr>
    <w:rPr>
      <w:rFonts w:asciiTheme="majorHAnsi" w:hAnsiTheme="majorHAnsi" w:eastAsiaTheme="majorEastAsia" w:cstheme="majorBidi"/>
      <w:b/>
      <w:bCs/>
      <w:kern w:val="2"/>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pPr>
      <w:spacing w:after="0"/>
    </w:pPr>
    <w:rPr>
      <w:sz w:val="18"/>
      <w:szCs w:val="18"/>
    </w:rPr>
  </w:style>
  <w:style w:type="paragraph" w:styleId="4">
    <w:name w:val="footer"/>
    <w:basedOn w:val="1"/>
    <w:link w:val="9"/>
    <w:qFormat/>
    <w:uiPriority w:val="99"/>
    <w:pPr>
      <w:widowControl w:val="0"/>
      <w:tabs>
        <w:tab w:val="center" w:pos="4153"/>
        <w:tab w:val="right" w:pos="8306"/>
      </w:tabs>
      <w:adjustRightInd/>
      <w:spacing w:after="0"/>
      <w:ind w:firstLine="420"/>
    </w:pPr>
    <w:rPr>
      <w:rFonts w:asciiTheme="minorHAnsi" w:hAnsiTheme="minorHAnsi" w:eastAsiaTheme="minorEastAsia"/>
      <w:kern w:val="2"/>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标题 2 Char"/>
    <w:basedOn w:val="7"/>
    <w:link w:val="2"/>
    <w:qFormat/>
    <w:uiPriority w:val="0"/>
    <w:rPr>
      <w:rFonts w:asciiTheme="majorHAnsi" w:hAnsiTheme="majorHAnsi" w:eastAsiaTheme="majorEastAsia" w:cstheme="majorBidi"/>
      <w:b/>
      <w:bCs/>
      <w:kern w:val="2"/>
      <w:sz w:val="32"/>
      <w:szCs w:val="32"/>
    </w:rPr>
  </w:style>
  <w:style w:type="character" w:customStyle="1" w:styleId="9">
    <w:name w:val="页脚 Char"/>
    <w:basedOn w:val="7"/>
    <w:link w:val="4"/>
    <w:qFormat/>
    <w:uiPriority w:val="99"/>
    <w:rPr>
      <w:rFonts w:eastAsiaTheme="minorEastAsia"/>
      <w:kern w:val="2"/>
      <w:sz w:val="18"/>
      <w:szCs w:val="18"/>
    </w:rPr>
  </w:style>
  <w:style w:type="paragraph" w:customStyle="1" w:styleId="10">
    <w:name w:val="石墨文档正文"/>
    <w:qFormat/>
    <w:uiPriority w:val="0"/>
    <w:rPr>
      <w:rFonts w:ascii="微软雅黑" w:hAnsi="微软雅黑" w:eastAsia="微软雅黑" w:cs="微软雅黑"/>
      <w:sz w:val="22"/>
      <w:szCs w:val="22"/>
      <w:lang w:val="en-US" w:eastAsia="zh-CN" w:bidi="ar-SA"/>
    </w:rPr>
  </w:style>
  <w:style w:type="character" w:customStyle="1" w:styleId="11">
    <w:name w:val="页眉 Char"/>
    <w:basedOn w:val="7"/>
    <w:link w:val="5"/>
    <w:semiHidden/>
    <w:qFormat/>
    <w:uiPriority w:val="99"/>
    <w:rPr>
      <w:rFonts w:ascii="Tahoma" w:hAnsi="Tahoma"/>
      <w:sz w:val="18"/>
      <w:szCs w:val="18"/>
    </w:rPr>
  </w:style>
  <w:style w:type="character" w:customStyle="1" w:styleId="12">
    <w:name w:val="批注框文本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241</Words>
  <Characters>1374</Characters>
  <Lines>11</Lines>
  <Paragraphs>3</Paragraphs>
  <TotalTime>0</TotalTime>
  <ScaleCrop>false</ScaleCrop>
  <LinksUpToDate>false</LinksUpToDate>
  <CharactersWithSpaces>1612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Data</dc:creator>
  <cp:lastModifiedBy>Z-yanmi</cp:lastModifiedBy>
  <dcterms:modified xsi:type="dcterms:W3CDTF">2022-06-29T05:20:41Z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